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5D" w:rsidRDefault="004C2B5D" w:rsidP="004C2B5D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27704" w:rsidRDefault="00827704" w:rsidP="0082770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й с к а я      Ф е д е р а ц и я</w:t>
      </w:r>
    </w:p>
    <w:p w:rsidR="00827704" w:rsidRDefault="00827704" w:rsidP="00827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27704" w:rsidRDefault="00827704" w:rsidP="0082770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Тайшетский муниципальный район</w:t>
      </w:r>
    </w:p>
    <w:p w:rsidR="00827704" w:rsidRDefault="00827704" w:rsidP="0082770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27704" w:rsidRDefault="00827704" w:rsidP="0082770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27704" w:rsidRDefault="00827704" w:rsidP="008277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7704" w:rsidRDefault="00827704" w:rsidP="0082770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2230" w:type="dxa"/>
        <w:tblInd w:w="-72" w:type="dxa"/>
        <w:tblBorders>
          <w:top w:val="double" w:sz="4" w:space="0" w:color="auto"/>
        </w:tblBorders>
        <w:tblLook w:val="04A0"/>
      </w:tblPr>
      <w:tblGrid>
        <w:gridCol w:w="12230"/>
      </w:tblGrid>
      <w:tr w:rsidR="00827704" w:rsidTr="00827704">
        <w:trPr>
          <w:trHeight w:val="669"/>
        </w:trPr>
        <w:tc>
          <w:tcPr>
            <w:tcW w:w="122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27704" w:rsidRDefault="00827704" w:rsidP="0082770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7704" w:rsidRDefault="00827704" w:rsidP="00827704">
            <w:pPr>
              <w:spacing w:after="0"/>
              <w:ind w:right="25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«» 2021 года                                                                            №</w:t>
            </w:r>
          </w:p>
        </w:tc>
      </w:tr>
    </w:tbl>
    <w:p w:rsidR="00417408" w:rsidRDefault="00827704" w:rsidP="008277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утверждении муниципальной программы</w:t>
      </w:r>
      <w:r w:rsidR="0041740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«Охрана окружающей</w:t>
      </w:r>
    </w:p>
    <w:p w:rsidR="00827704" w:rsidRDefault="00827704" w:rsidP="008277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среды на территории Бузыкановского муниципального образования</w:t>
      </w:r>
    </w:p>
    <w:p w:rsidR="00827704" w:rsidRDefault="00827704" w:rsidP="0082770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2022-2024 годы»</w:t>
      </w:r>
    </w:p>
    <w:p w:rsidR="00827704" w:rsidRDefault="00827704" w:rsidP="00827704">
      <w:pPr>
        <w:rPr>
          <w:rFonts w:ascii="Times New Roman" w:hAnsi="Times New Roman"/>
          <w:b/>
          <w:sz w:val="24"/>
        </w:rPr>
      </w:pPr>
    </w:p>
    <w:p w:rsidR="00827704" w:rsidRPr="00636BD1" w:rsidRDefault="00636BD1" w:rsidP="00636BD1">
      <w:pPr>
        <w:ind w:firstLine="709"/>
        <w:rPr>
          <w:rFonts w:ascii="Times New Roman" w:hAnsi="Times New Roman"/>
        </w:rPr>
      </w:pPr>
      <w:r w:rsidRPr="00636BD1">
        <w:rPr>
          <w:rFonts w:ascii="Times New Roman" w:hAnsi="Times New Roman" w:cs="Times New Roman"/>
          <w:color w:val="000000"/>
          <w:shd w:val="clear" w:color="auto" w:fill="FFFFFF"/>
        </w:rPr>
        <w:t>В целях уменьшения негативного воздействия на окружающую среду, обеспечения экол</w:t>
      </w:r>
      <w:r w:rsidRPr="00636BD1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636BD1">
        <w:rPr>
          <w:rFonts w:ascii="Times New Roman" w:hAnsi="Times New Roman" w:cs="Times New Roman"/>
          <w:color w:val="000000"/>
          <w:shd w:val="clear" w:color="auto" w:fill="FFFFFF"/>
        </w:rPr>
        <w:t>гической безопасности на территории Бузыкановского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образования</w:t>
      </w:r>
      <w:r w:rsidRPr="00636BD1">
        <w:rPr>
          <w:rFonts w:ascii="Times New Roman" w:hAnsi="Times New Roman" w:cs="Times New Roman"/>
          <w:color w:val="000000"/>
          <w:shd w:val="clear" w:color="auto" w:fill="FFFFFF"/>
        </w:rPr>
        <w:t xml:space="preserve">, охраны и </w:t>
      </w:r>
      <w:proofErr w:type="gramStart"/>
      <w:r w:rsidRPr="00636BD1">
        <w:rPr>
          <w:rFonts w:ascii="Times New Roman" w:hAnsi="Times New Roman" w:cs="Times New Roman"/>
          <w:color w:val="000000"/>
          <w:shd w:val="clear" w:color="auto" w:fill="FFFFFF"/>
        </w:rPr>
        <w:t>защиты древесно-кустарниковой растительности, совершенствования системы экологического о</w:t>
      </w:r>
      <w:r w:rsidRPr="00636BD1">
        <w:rPr>
          <w:rFonts w:ascii="Times New Roman" w:hAnsi="Times New Roman" w:cs="Times New Roman"/>
          <w:color w:val="000000"/>
          <w:shd w:val="clear" w:color="auto" w:fill="FFFFFF"/>
        </w:rPr>
        <w:t>б</w:t>
      </w:r>
      <w:r w:rsidRPr="00636BD1">
        <w:rPr>
          <w:rFonts w:ascii="Times New Roman" w:hAnsi="Times New Roman" w:cs="Times New Roman"/>
          <w:color w:val="000000"/>
          <w:shd w:val="clear" w:color="auto" w:fill="FFFFFF"/>
        </w:rPr>
        <w:t>разования и формирования экологической культуры населения,</w:t>
      </w:r>
      <w:r>
        <w:rPr>
          <w:rFonts w:ascii="Times New Roman" w:hAnsi="Times New Roman"/>
        </w:rPr>
        <w:t xml:space="preserve"> руководствуясь </w:t>
      </w:r>
      <w:r w:rsidR="00827704">
        <w:rPr>
          <w:rFonts w:ascii="Times New Roman" w:hAnsi="Times New Roman"/>
        </w:rPr>
        <w:t>Федеральным з</w:t>
      </w:r>
      <w:r w:rsidR="00827704">
        <w:rPr>
          <w:rFonts w:ascii="Times New Roman" w:hAnsi="Times New Roman"/>
        </w:rPr>
        <w:t>а</w:t>
      </w:r>
      <w:r w:rsidR="00827704">
        <w:rPr>
          <w:rFonts w:ascii="Times New Roman" w:hAnsi="Times New Roman"/>
        </w:rPr>
        <w:t xml:space="preserve">коном от 06.10.2003 года №131-ФЗ «Об общих принципах организации местного самоуправления в Российской Федерации», ст. 179 Бюджетного кодекса Российской Федерации, постановлением администрации Бузыкановского </w:t>
      </w:r>
      <w:r w:rsidR="00B1767B">
        <w:rPr>
          <w:rFonts w:ascii="Times New Roman" w:hAnsi="Times New Roman"/>
        </w:rPr>
        <w:t>муниципального образования от 11.10.2019 г. №92</w:t>
      </w:r>
      <w:r w:rsidR="00827704">
        <w:rPr>
          <w:rFonts w:ascii="Times New Roman" w:hAnsi="Times New Roman"/>
        </w:rPr>
        <w:t xml:space="preserve"> «Об утве</w:t>
      </w:r>
      <w:r w:rsidR="00827704">
        <w:rPr>
          <w:rFonts w:ascii="Times New Roman" w:hAnsi="Times New Roman"/>
        </w:rPr>
        <w:t>р</w:t>
      </w:r>
      <w:r w:rsidR="00827704">
        <w:rPr>
          <w:rFonts w:ascii="Times New Roman" w:hAnsi="Times New Roman"/>
        </w:rPr>
        <w:t xml:space="preserve">ждении </w:t>
      </w:r>
      <w:r w:rsidR="00B1767B">
        <w:rPr>
          <w:rFonts w:ascii="Times New Roman" w:hAnsi="Times New Roman"/>
        </w:rPr>
        <w:t xml:space="preserve">Порядка разработки, реализации и оценки эффективности муниципальных программ </w:t>
      </w:r>
      <w:r w:rsidR="00827704">
        <w:rPr>
          <w:rFonts w:ascii="Times New Roman" w:hAnsi="Times New Roman"/>
        </w:rPr>
        <w:t>Б</w:t>
      </w:r>
      <w:r w:rsidR="00827704">
        <w:rPr>
          <w:rFonts w:ascii="Times New Roman" w:hAnsi="Times New Roman"/>
        </w:rPr>
        <w:t>у</w:t>
      </w:r>
      <w:r w:rsidR="00827704">
        <w:rPr>
          <w:rFonts w:ascii="Times New Roman" w:hAnsi="Times New Roman"/>
        </w:rPr>
        <w:t>зыкановского муниципального образования», ст.ст.23,46 Устава</w:t>
      </w:r>
      <w:proofErr w:type="gramEnd"/>
      <w:r w:rsidR="00827704">
        <w:rPr>
          <w:rFonts w:ascii="Times New Roman" w:hAnsi="Times New Roman"/>
        </w:rPr>
        <w:t xml:space="preserve"> Бузыкановского муниципального образования, администрация Бузыкановского муниципального образования</w:t>
      </w:r>
    </w:p>
    <w:p w:rsidR="00827704" w:rsidRDefault="00827704" w:rsidP="008277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827704" w:rsidRDefault="00827704" w:rsidP="00827704">
      <w:pPr>
        <w:spacing w:after="0"/>
        <w:ind w:firstLine="708"/>
        <w:rPr>
          <w:rFonts w:ascii="Times New Roman" w:hAnsi="Times New Roman"/>
          <w:sz w:val="24"/>
        </w:rPr>
      </w:pPr>
    </w:p>
    <w:p w:rsidR="00827704" w:rsidRDefault="00827704" w:rsidP="00827704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1.</w:t>
      </w:r>
      <w:r>
        <w:rPr>
          <w:rFonts w:ascii="Times New Roman" w:hAnsi="Times New Roman"/>
          <w:sz w:val="24"/>
        </w:rPr>
        <w:t>Утвердить муниципальную программу «Охрана окружающей среды на террит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рии Бузыкановского муниципального образования на 2022-2024 годы».</w:t>
      </w:r>
    </w:p>
    <w:p w:rsidR="00827704" w:rsidRDefault="00827704" w:rsidP="0082770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827704" w:rsidRDefault="00827704" w:rsidP="0082770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827704" w:rsidRDefault="00827704" w:rsidP="00827704">
      <w:pPr>
        <w:spacing w:after="0"/>
        <w:rPr>
          <w:rFonts w:ascii="Times New Roman" w:hAnsi="Times New Roman"/>
        </w:rPr>
      </w:pPr>
    </w:p>
    <w:p w:rsidR="00827704" w:rsidRDefault="00827704" w:rsidP="00827704">
      <w:pPr>
        <w:rPr>
          <w:rFonts w:ascii="Times New Roman" w:hAnsi="Times New Roman"/>
        </w:rPr>
      </w:pPr>
    </w:p>
    <w:p w:rsidR="00827704" w:rsidRDefault="00827704" w:rsidP="00827704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</w:t>
      </w:r>
    </w:p>
    <w:p w:rsidR="00827704" w:rsidRDefault="00827704" w:rsidP="00827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П.М. Кулаков</w:t>
      </w:r>
    </w:p>
    <w:p w:rsidR="00827704" w:rsidRDefault="00827704" w:rsidP="00827704">
      <w:pPr>
        <w:spacing w:after="0"/>
        <w:rPr>
          <w:rFonts w:ascii="Times New Roman" w:hAnsi="Times New Roman"/>
          <w:sz w:val="24"/>
        </w:rPr>
      </w:pPr>
    </w:p>
    <w:p w:rsidR="00827704" w:rsidRDefault="00827704" w:rsidP="00827704">
      <w:pPr>
        <w:rPr>
          <w:rFonts w:ascii="Times New Roman" w:hAnsi="Times New Roman"/>
          <w:sz w:val="24"/>
        </w:rPr>
      </w:pPr>
    </w:p>
    <w:p w:rsidR="00827704" w:rsidRDefault="00827704" w:rsidP="0082770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</w:p>
    <w:p w:rsidR="00827704" w:rsidRDefault="00827704" w:rsidP="00827704">
      <w:pPr>
        <w:spacing w:after="0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Утверждена</w:t>
      </w:r>
    </w:p>
    <w:p w:rsidR="00827704" w:rsidRDefault="00827704" w:rsidP="00827704">
      <w:pPr>
        <w:spacing w:after="0"/>
        <w:ind w:left="538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Бузыкановского</w:t>
      </w:r>
    </w:p>
    <w:p w:rsidR="00827704" w:rsidRDefault="00827704" w:rsidP="0082770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827704" w:rsidRDefault="00827704" w:rsidP="00827704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«»2021г. №</w:t>
      </w:r>
    </w:p>
    <w:p w:rsidR="000376AC" w:rsidRDefault="000376AC" w:rsidP="00827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970" w:rsidRDefault="00941970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970" w:rsidRPr="00D97CA4" w:rsidRDefault="00941970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A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0376AC" w:rsidRPr="00D97CA4" w:rsidRDefault="00932D93" w:rsidP="0003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«Охрана окружающей среды на территории</w:t>
      </w: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CA4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0376AC" w:rsidRPr="00D97CA4" w:rsidRDefault="00932D93" w:rsidP="0003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2022-2024</w:t>
      </w:r>
      <w:r w:rsidR="00892BA6" w:rsidRPr="00D97CA4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0376AC" w:rsidRPr="00D97CA4">
        <w:rPr>
          <w:rFonts w:ascii="Times New Roman" w:hAnsi="Times New Roman" w:cs="Times New Roman"/>
          <w:b/>
          <w:sz w:val="24"/>
          <w:szCs w:val="24"/>
        </w:rPr>
        <w:t>»</w:t>
      </w: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Default="000376AC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970" w:rsidRDefault="00941970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970" w:rsidRPr="00D97CA4" w:rsidRDefault="00941970" w:rsidP="000376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CA4" w:rsidRPr="00932D93" w:rsidRDefault="00D97CA4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CA4" w:rsidRPr="00932D93" w:rsidRDefault="00D97CA4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CA4" w:rsidRPr="00932D93" w:rsidRDefault="00D97CA4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CA4" w:rsidRPr="00932D93" w:rsidRDefault="00D97CA4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7CA4" w:rsidRPr="00932D93" w:rsidRDefault="00D97CA4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6AC" w:rsidRPr="00D97CA4" w:rsidRDefault="000376AC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t>с.Бузыканово</w:t>
      </w:r>
    </w:p>
    <w:p w:rsidR="000376AC" w:rsidRPr="00D97CA4" w:rsidRDefault="006B4DFE" w:rsidP="008277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0376AC" w:rsidRPr="00D97C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376AC" w:rsidRPr="00D97CA4" w:rsidRDefault="008219D1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7CA4"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8219D1" w:rsidRPr="00D97CA4" w:rsidRDefault="008219D1" w:rsidP="000376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8219D1" w:rsidRPr="00D97CA4" w:rsidTr="008219D1">
        <w:tc>
          <w:tcPr>
            <w:tcW w:w="2518" w:type="dxa"/>
          </w:tcPr>
          <w:p w:rsidR="008219D1" w:rsidRPr="00D97CA4" w:rsidRDefault="008219D1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932D93" w:rsidRPr="00932D93" w:rsidRDefault="008219D1" w:rsidP="0093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932D93" w:rsidRPr="00932D93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на территории</w:t>
            </w:r>
          </w:p>
          <w:p w:rsidR="00932D93" w:rsidRPr="00932D93" w:rsidRDefault="00932D93" w:rsidP="0093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  <w:p w:rsidR="00932D93" w:rsidRPr="00932D93" w:rsidRDefault="00932D93" w:rsidP="0093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93">
              <w:rPr>
                <w:rFonts w:ascii="Times New Roman" w:hAnsi="Times New Roman" w:cs="Times New Roman"/>
                <w:sz w:val="24"/>
                <w:szCs w:val="24"/>
              </w:rPr>
              <w:t>на 2022-2024 г.г.»</w:t>
            </w:r>
          </w:p>
          <w:p w:rsidR="008219D1" w:rsidRPr="00D97CA4" w:rsidRDefault="002A44DB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(далее–</w:t>
            </w:r>
            <w:r w:rsidR="008219D1" w:rsidRPr="00D97CA4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8219D1" w:rsidRPr="00D97CA4" w:rsidTr="008219D1">
        <w:tc>
          <w:tcPr>
            <w:tcW w:w="2518" w:type="dxa"/>
          </w:tcPr>
          <w:p w:rsidR="008219D1" w:rsidRPr="00D97CA4" w:rsidRDefault="008219D1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Основания для разр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ботки Программы</w:t>
            </w:r>
          </w:p>
        </w:tc>
        <w:tc>
          <w:tcPr>
            <w:tcW w:w="7053" w:type="dxa"/>
          </w:tcPr>
          <w:p w:rsidR="005D561E" w:rsidRPr="002A44DB" w:rsidRDefault="002A44DB" w:rsidP="002A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Бюджетный кодекс РФ</w:t>
            </w:r>
          </w:p>
          <w:p w:rsidR="0055150C" w:rsidRPr="002A44DB" w:rsidRDefault="002A44DB" w:rsidP="002A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г.№131-ФЗ «Об общих при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ципах организации местного самоуправления в Российской Фед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рации»</w:t>
            </w:r>
          </w:p>
          <w:p w:rsidR="0055150C" w:rsidRPr="002A44DB" w:rsidRDefault="002A44DB" w:rsidP="002A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г. №7-ФЗ «Об охране окр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жающей среды»</w:t>
            </w:r>
          </w:p>
          <w:p w:rsidR="0055150C" w:rsidRPr="002A44DB" w:rsidRDefault="002A44DB" w:rsidP="002A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Ст.8 Федерального закона от 24.06.1998 г. «89-ФЗ «Об отходах производства и потребления»</w:t>
            </w:r>
          </w:p>
          <w:p w:rsidR="0055150C" w:rsidRPr="002A44DB" w:rsidRDefault="002A44DB" w:rsidP="002A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50C" w:rsidRPr="002A44DB">
              <w:rPr>
                <w:rFonts w:ascii="Times New Roman" w:hAnsi="Times New Roman" w:cs="Times New Roman"/>
                <w:sz w:val="24"/>
                <w:szCs w:val="24"/>
              </w:rPr>
              <w:t>Устав Бузыкановского муниципального образования</w:t>
            </w:r>
          </w:p>
        </w:tc>
      </w:tr>
      <w:tr w:rsidR="008219D1" w:rsidRPr="00D97CA4" w:rsidTr="008219D1">
        <w:tc>
          <w:tcPr>
            <w:tcW w:w="2518" w:type="dxa"/>
          </w:tcPr>
          <w:p w:rsidR="008219D1" w:rsidRPr="00D97CA4" w:rsidRDefault="00BE01F9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3" w:type="dxa"/>
          </w:tcPr>
          <w:p w:rsidR="008219D1" w:rsidRPr="00D97CA4" w:rsidRDefault="00BE01F9" w:rsidP="00BE0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35953" w:rsidRPr="00D97CA4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="004C5F47" w:rsidRPr="00D97CA4">
              <w:rPr>
                <w:rFonts w:ascii="Times New Roman" w:hAnsi="Times New Roman" w:cs="Times New Roman"/>
                <w:sz w:val="24"/>
                <w:szCs w:val="24"/>
              </w:rPr>
              <w:t>, адрес: 665043, Иркутская область, Тайшетский район, с.Бузыканово, ул</w:t>
            </w:r>
            <w:proofErr w:type="gramStart"/>
            <w:r w:rsidR="004C5F47" w:rsidRPr="00D97CA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C5F47" w:rsidRPr="00D97CA4">
              <w:rPr>
                <w:rFonts w:ascii="Times New Roman" w:hAnsi="Times New Roman" w:cs="Times New Roman"/>
                <w:sz w:val="24"/>
                <w:szCs w:val="24"/>
              </w:rPr>
              <w:t>кольная 1</w:t>
            </w:r>
          </w:p>
        </w:tc>
      </w:tr>
      <w:tr w:rsidR="008219D1" w:rsidRPr="00D97CA4" w:rsidTr="008219D1">
        <w:tc>
          <w:tcPr>
            <w:tcW w:w="2518" w:type="dxa"/>
          </w:tcPr>
          <w:p w:rsidR="008219D1" w:rsidRPr="00D97CA4" w:rsidRDefault="00077CDC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735953" w:rsidRPr="00D97C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735953"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953" w:rsidRPr="00D97CA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53" w:type="dxa"/>
          </w:tcPr>
          <w:p w:rsidR="008219D1" w:rsidRPr="00D97CA4" w:rsidRDefault="004C5F47" w:rsidP="004C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CA4">
              <w:rPr>
                <w:rFonts w:ascii="Times New Roman" w:hAnsi="Times New Roman" w:cs="Times New Roman"/>
                <w:sz w:val="24"/>
                <w:szCs w:val="24"/>
              </w:rPr>
              <w:t>Администрация Бузыкановского муниципального образования</w:t>
            </w:r>
          </w:p>
        </w:tc>
      </w:tr>
      <w:tr w:rsidR="008219D1" w:rsidRPr="00D97CA4" w:rsidTr="008219D1">
        <w:tc>
          <w:tcPr>
            <w:tcW w:w="2518" w:type="dxa"/>
          </w:tcPr>
          <w:p w:rsidR="008219D1" w:rsidRPr="00D97CA4" w:rsidRDefault="00077CDC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ц</w:t>
            </w:r>
            <w:r w:rsidR="004C5F47" w:rsidRPr="00D97CA4">
              <w:rPr>
                <w:rFonts w:ascii="Times New Roman" w:hAnsi="Times New Roman" w:cs="Times New Roman"/>
                <w:sz w:val="24"/>
                <w:szCs w:val="24"/>
              </w:rPr>
              <w:t>ель Пр</w:t>
            </w:r>
            <w:r w:rsidR="004C5F47" w:rsidRPr="00D97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C5F47" w:rsidRPr="00D97CA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53" w:type="dxa"/>
          </w:tcPr>
          <w:p w:rsidR="00F52D5C" w:rsidRPr="00D97CA4" w:rsidRDefault="00077CDC" w:rsidP="0027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-предотвращение вредного воздействия отходов на здоровье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ловека и окружающую среду на территории Бузыкановского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</w:tr>
      <w:tr w:rsidR="008219D1" w:rsidRPr="00D97CA4" w:rsidTr="008219D1">
        <w:tc>
          <w:tcPr>
            <w:tcW w:w="2518" w:type="dxa"/>
          </w:tcPr>
          <w:p w:rsidR="008219D1" w:rsidRPr="00D97CA4" w:rsidRDefault="00077CDC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</w:t>
            </w:r>
            <w:r w:rsidR="004C5F47" w:rsidRPr="00D97CA4">
              <w:rPr>
                <w:rFonts w:ascii="Times New Roman" w:hAnsi="Times New Roman" w:cs="Times New Roman"/>
                <w:sz w:val="24"/>
                <w:szCs w:val="24"/>
              </w:rPr>
              <w:t>адачи Программы</w:t>
            </w:r>
          </w:p>
        </w:tc>
        <w:tc>
          <w:tcPr>
            <w:tcW w:w="7053" w:type="dxa"/>
          </w:tcPr>
          <w:p w:rsidR="00C75FD5" w:rsidRDefault="00EE3D70" w:rsidP="0007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негативного влияния отходов на состояние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среды;</w:t>
            </w:r>
          </w:p>
          <w:p w:rsidR="00EE3D70" w:rsidRDefault="00EE3D70" w:rsidP="0007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благоприятной и безопасной окружающей природной среды;</w:t>
            </w:r>
          </w:p>
          <w:p w:rsidR="00EE3D70" w:rsidRPr="00D97CA4" w:rsidRDefault="00EE3D70" w:rsidP="0007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уровня экологического просвещения населения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зыкановского муниципального образования </w:t>
            </w:r>
          </w:p>
        </w:tc>
      </w:tr>
      <w:tr w:rsidR="008219D1" w:rsidRPr="00D97CA4" w:rsidTr="008219D1">
        <w:tc>
          <w:tcPr>
            <w:tcW w:w="2518" w:type="dxa"/>
          </w:tcPr>
          <w:p w:rsidR="008219D1" w:rsidRPr="00D97CA4" w:rsidRDefault="00EE3D70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8219D1" w:rsidRPr="00D97CA4" w:rsidRDefault="00EE3D70" w:rsidP="00005C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2022-2024 годы, разбивка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этапы не предусматривается</w:t>
            </w:r>
          </w:p>
        </w:tc>
      </w:tr>
      <w:tr w:rsidR="008219D1" w:rsidRPr="00D97CA4" w:rsidTr="00C97E82">
        <w:tc>
          <w:tcPr>
            <w:tcW w:w="2518" w:type="dxa"/>
          </w:tcPr>
          <w:p w:rsidR="008219D1" w:rsidRPr="00D97CA4" w:rsidRDefault="00EE3D70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053" w:type="dxa"/>
            <w:shd w:val="clear" w:color="auto" w:fill="auto"/>
          </w:tcPr>
          <w:p w:rsidR="00F7417A" w:rsidRDefault="00EE3D70" w:rsidP="00F7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Программы составляет</w:t>
            </w:r>
            <w:r w:rsidR="00CC2F2D">
              <w:rPr>
                <w:rFonts w:ascii="Times New Roman" w:hAnsi="Times New Roman" w:cs="Times New Roman"/>
                <w:sz w:val="24"/>
                <w:szCs w:val="24"/>
              </w:rPr>
              <w:t xml:space="preserve"> 2189,671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из бюджета Бузыкановского муниципального </w:t>
            </w:r>
            <w:r w:rsidRPr="00F7417A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F74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417A">
              <w:rPr>
                <w:rFonts w:ascii="Times New Roman" w:hAnsi="Times New Roman" w:cs="Times New Roman"/>
                <w:sz w:val="24"/>
                <w:szCs w:val="24"/>
              </w:rPr>
              <w:t>ния, из них:</w:t>
            </w:r>
          </w:p>
          <w:p w:rsidR="00F7417A" w:rsidRDefault="00F7417A" w:rsidP="00F7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729,890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7417A" w:rsidRDefault="00F7417A" w:rsidP="00F7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729,890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E3D70" w:rsidRDefault="00F7417A" w:rsidP="00F74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729,891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EE3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D70" w:rsidRPr="00D97CA4" w:rsidRDefault="00EE3D70" w:rsidP="004C5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Программы носят прогнозный характер и подлежат ежегодному уточнению</w:t>
            </w:r>
          </w:p>
        </w:tc>
      </w:tr>
      <w:tr w:rsidR="001C275D" w:rsidRPr="00D97CA4" w:rsidTr="008219D1">
        <w:tc>
          <w:tcPr>
            <w:tcW w:w="2518" w:type="dxa"/>
          </w:tcPr>
          <w:p w:rsidR="001C275D" w:rsidRPr="00D97CA4" w:rsidRDefault="00C97E82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053" w:type="dxa"/>
          </w:tcPr>
          <w:p w:rsidR="001C275D" w:rsidRDefault="00C97E82" w:rsidP="00D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1.Введение в эксплуатацию контейнерных площадок под ТКО твёрдых бытовых отходов к 2024 году</w:t>
            </w:r>
            <w:r w:rsidR="00CC2F2D">
              <w:rPr>
                <w:rFonts w:ascii="Times New Roman" w:hAnsi="Times New Roman" w:cs="Times New Roman"/>
                <w:sz w:val="24"/>
                <w:szCs w:val="24"/>
              </w:rPr>
              <w:t xml:space="preserve"> до 17 площадок.</w:t>
            </w:r>
          </w:p>
          <w:p w:rsidR="00C97E82" w:rsidRDefault="00C97E82" w:rsidP="00D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несанкционированных свалок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Бузыкановского муниципального образования к 2024 году до 0.</w:t>
            </w:r>
          </w:p>
          <w:p w:rsidR="00C97E82" w:rsidRPr="00C97E82" w:rsidRDefault="00C97E82" w:rsidP="00D0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3.Улучшение санитарно-эпидемиологического благополучия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селения.</w:t>
            </w:r>
          </w:p>
        </w:tc>
      </w:tr>
      <w:tr w:rsidR="003C529F" w:rsidRPr="00D97CA4" w:rsidTr="008219D1">
        <w:tc>
          <w:tcPr>
            <w:tcW w:w="2518" w:type="dxa"/>
          </w:tcPr>
          <w:p w:rsidR="003C529F" w:rsidRPr="00D97CA4" w:rsidRDefault="00C97E82" w:rsidP="0003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Программы</w:t>
            </w:r>
          </w:p>
        </w:tc>
        <w:tc>
          <w:tcPr>
            <w:tcW w:w="7053" w:type="dxa"/>
          </w:tcPr>
          <w:p w:rsidR="003C529F" w:rsidRPr="00D97CA4" w:rsidRDefault="00C97E82" w:rsidP="00D06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 осуществляет 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  <w:r w:rsidR="00D069E6">
              <w:rPr>
                <w:rFonts w:ascii="Times New Roman" w:hAnsi="Times New Roman" w:cs="Times New Roman"/>
                <w:sz w:val="24"/>
                <w:szCs w:val="24"/>
              </w:rPr>
              <w:t>, жители Буз</w:t>
            </w:r>
            <w:r w:rsidR="00D069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069E6"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</w:t>
            </w:r>
          </w:p>
        </w:tc>
      </w:tr>
    </w:tbl>
    <w:p w:rsidR="00005C1B" w:rsidRPr="00D97CA4" w:rsidRDefault="00005C1B" w:rsidP="0089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4079" w:rsidRDefault="005C7F93" w:rsidP="005C7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1. Характеристика текущего состояния: содержание проблемы и обоснов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ние необходимости е</w:t>
      </w:r>
      <w:r w:rsidR="00632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ё решения программными методами</w:t>
      </w:r>
    </w:p>
    <w:p w:rsidR="005C7F93" w:rsidRDefault="005C7F93" w:rsidP="00BE36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7F93" w:rsidRPr="005C7F93" w:rsidRDefault="005C7F93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экологической безопасности является одним из важных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 реализации конституционного права граждан на благоприятную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окружающую среду, а также необходимым условием повышение уровня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жизни населения. Высокое качество жизни и здоровья населения,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устойчивое экономическо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развитие 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кановского муниципального образования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обеспечены только при условии с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систем и поддержания соответствующего качества окружающей</w:t>
      </w:r>
    </w:p>
    <w:p w:rsidR="005C7F93" w:rsidRDefault="005C7F93" w:rsidP="005C7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 Для этого необходимо формировать и последовательно реализовывать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единую п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литику в области экологии, направленную на охрану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среды и </w:t>
      </w:r>
      <w:proofErr w:type="gramStart"/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</w:t>
      </w:r>
      <w:proofErr w:type="gramEnd"/>
      <w:r w:rsidRPr="005C7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природных ресурсов.</w:t>
      </w:r>
    </w:p>
    <w:p w:rsidR="005C7F93" w:rsidRDefault="005C7F93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</w:t>
      </w:r>
      <w:r w:rsid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 законом от 06.10.2003г. №131–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 организация сбора и вывоза твёрдых бытовых отходов относится к полномочиям</w:t>
      </w:r>
      <w:r w:rsidR="004B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местного с</w:t>
      </w:r>
      <w:r w:rsidR="004B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B1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моуправления.</w:t>
      </w:r>
    </w:p>
    <w:p w:rsidR="004B193B" w:rsidRDefault="004B193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количество контейнеров, подлежащих расстановке на обслужива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участке, зависит от годового накопления твёрдых бытовых отходов на участке,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риодичности удаления отходов, вместимости контейнеров. Потребность контейнерных площадок по муниципальному образованию</w:t>
      </w:r>
      <w:r w:rsidR="00994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17 единиц в двух населённых пунктах.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определён земельный участок</w:t>
      </w:r>
      <w:r w:rsidR="000C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временного хранения твё</w:t>
      </w:r>
      <w:r w:rsidR="000C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C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коммунальных отходов, находящийся по адресу: Российская Федерация, Иркутская область, Тайшетский район, Бузыкановское муниципальное образование, 1000 м на юго-запад от р</w:t>
      </w:r>
      <w:proofErr w:type="gramStart"/>
      <w:r w:rsidR="000C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0C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ирюса, 750 м на запад от западной границы с.Бузыканово, 100 м на север</w:t>
      </w:r>
      <w:r w:rsidR="002A4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автодороги Тайшет–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Черчет, также определены земельные участки под размещение ко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тейнерных площадок и присвоены адреса:</w:t>
      </w:r>
    </w:p>
    <w:p w:rsidR="00104A97" w:rsidRPr="006E15D8" w:rsidRDefault="00104A97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С.Бузыканово: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артизанская 2а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артизанская 20а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артизанская 48а</w:t>
      </w:r>
    </w:p>
    <w:p w:rsidR="00104A97" w:rsidRDefault="002A44DB" w:rsidP="00104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артизанская 49а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артизанская 58а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кольная 19а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кольная 13а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кольная 2а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билейная 11а</w:t>
      </w:r>
    </w:p>
    <w:p w:rsidR="00104A97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елёная 2а</w:t>
      </w:r>
    </w:p>
    <w:p w:rsidR="00104A97" w:rsidRDefault="006E15D8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15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Д.Иванов Мыс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E15D8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олодёжная 1а</w:t>
      </w:r>
    </w:p>
    <w:p w:rsidR="006E15D8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олодёжная 8а</w:t>
      </w:r>
    </w:p>
    <w:p w:rsidR="006E15D8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proofErr w:type="gramStart"/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туденческий 2а</w:t>
      </w:r>
    </w:p>
    <w:p w:rsidR="006E15D8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Бирюсинская</w:t>
      </w:r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6а</w:t>
      </w:r>
    </w:p>
    <w:p w:rsidR="006E15D8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Бирюсинская</w:t>
      </w:r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20а</w:t>
      </w:r>
    </w:p>
    <w:p w:rsidR="006E15D8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Бирюсинская</w:t>
      </w:r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30а</w:t>
      </w:r>
    </w:p>
    <w:p w:rsidR="006E15D8" w:rsidRPr="006E15D8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Бирюсинская</w:t>
      </w:r>
      <w:r w:rsidR="006E1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43а</w:t>
      </w:r>
    </w:p>
    <w:p w:rsidR="006E15D8" w:rsidRDefault="006E15D8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856" w:rsidRDefault="000C0048" w:rsidP="006148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дефицитом бюджета муниципального образования, администрация имеет возможность оборудовать</w:t>
      </w:r>
      <w:r w:rsidR="00F7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6 </w:t>
      </w:r>
      <w:r w:rsidR="00104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Отсутствие контейнерных площадок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 к нарушению экологического благополучия населения на территории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образования.</w:t>
      </w:r>
    </w:p>
    <w:p w:rsidR="000C0048" w:rsidRDefault="00786F91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 в сфере сбора и вывоза отходов является:</w:t>
      </w:r>
    </w:p>
    <w:p w:rsidR="00786F91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оборудованных контейнерных площадок;</w:t>
      </w:r>
    </w:p>
    <w:p w:rsidR="00786F91" w:rsidRDefault="002A44DB" w:rsidP="005C7F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 территории поселения несанкционированных свалок.</w:t>
      </w:r>
    </w:p>
    <w:p w:rsidR="00786F91" w:rsidRDefault="00786F91" w:rsidP="00786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бюджете муниципального образования недостаточно финансовых средств на оборудование контейнерных площадок под ТКО. Администрация Бузыкановского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планирует создание таких площадок в течение 3-х лет.</w:t>
      </w:r>
    </w:p>
    <w:p w:rsidR="00786F91" w:rsidRDefault="00786F91" w:rsidP="00786F9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решение приоритетных задач в сфере охраны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и обеспечения раци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природопользования на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оздоровлению экологической обстановки и обесп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 безопасности, а также повышению уровня экологического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86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 воспитания, экологической культуры населения</w:t>
      </w:r>
      <w:r w:rsidRPr="00786F9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63285B" w:rsidRDefault="0063285B" w:rsidP="00BE3674">
      <w:pPr>
        <w:shd w:val="clear" w:color="auto" w:fill="FFFFFF"/>
        <w:spacing w:after="0" w:line="36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63285B" w:rsidRPr="00786F91" w:rsidRDefault="0063285B" w:rsidP="0063285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Основные цели и задачи Программы</w:t>
      </w:r>
    </w:p>
    <w:p w:rsidR="00786F91" w:rsidRDefault="00786F91" w:rsidP="00BE3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85B" w:rsidRDefault="0063285B" w:rsidP="00786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муниципальной Программы является предотвращение вредного воздействия отходов на здоровье человека и окружающую среду на территории Бузык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муниципального образования. </w:t>
      </w:r>
    </w:p>
    <w:p w:rsidR="0063285B" w:rsidRDefault="0063285B" w:rsidP="00786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достижения цели необходимо обеспечить решение органами местного самоуправления, осуществляющими защиту окружающей среды в Бузыкановском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ципальном образовании, следующих задач:</w:t>
      </w:r>
    </w:p>
    <w:p w:rsidR="0063285B" w:rsidRDefault="002A44DB" w:rsidP="00786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негативного влияния отходов на состояние окружающей среды;</w:t>
      </w:r>
    </w:p>
    <w:p w:rsidR="0063285B" w:rsidRDefault="002A44DB" w:rsidP="00786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32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и безопасной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окружающей природной среды.</w:t>
      </w:r>
    </w:p>
    <w:p w:rsidR="007441B6" w:rsidRDefault="008C2FCE" w:rsidP="00786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Предполагаемым показателем результативности муниципальной Программы 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снижение количества несанкционированных свалок, введённых мест размещения контейнерных площадок под ТКО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1B6" w:rsidRDefault="007441B6" w:rsidP="00BE3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FCE" w:rsidRDefault="007441B6" w:rsidP="00744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Прогноз конечных результатов Программы</w:t>
      </w:r>
    </w:p>
    <w:p w:rsidR="007441B6" w:rsidRDefault="007441B6" w:rsidP="00BE36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1B6" w:rsidRDefault="007441B6" w:rsidP="00744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окончанию срока исполнения Программы планируются следующие результаты:</w:t>
      </w:r>
    </w:p>
    <w:p w:rsidR="007441B6" w:rsidRDefault="002A44DB" w:rsidP="00744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эксплуатацию контейнерных площадок под ТКО твёрдых бытовых о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ходов к 2024 году</w:t>
      </w:r>
      <w:r w:rsidR="00994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 площадок;</w:t>
      </w:r>
    </w:p>
    <w:p w:rsidR="007441B6" w:rsidRDefault="002A44DB" w:rsidP="00744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количества несанкционированных свалок на территории муниципал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44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к 2024 году до 0.</w:t>
      </w:r>
    </w:p>
    <w:p w:rsidR="007441B6" w:rsidRDefault="007441B6" w:rsidP="00BE3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1B6" w:rsidRDefault="00736DCE" w:rsidP="007441B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4. Сроки реализации Программы</w:t>
      </w:r>
    </w:p>
    <w:p w:rsidR="00736DCE" w:rsidRDefault="00736DCE" w:rsidP="00BE36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36DCE" w:rsidRPr="00736DCE" w:rsidRDefault="00736DCE" w:rsidP="00736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рассчитана на период 2022 - 2024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736DCE" w:rsidRPr="00736DCE" w:rsidRDefault="00736DCE" w:rsidP="00736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муниципальной программы предусматривает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Бузыкановского муниципального образования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36DCE" w:rsidRDefault="00736DCE" w:rsidP="00736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муниципальной программы мероприятия, объемы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подлежат ежегодной корректировке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6DCE" w:rsidRDefault="00736DCE" w:rsidP="00736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Программы на этапы не предусмотрено.</w:t>
      </w:r>
    </w:p>
    <w:p w:rsidR="00736DCE" w:rsidRDefault="00736DCE" w:rsidP="00BE3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DCE" w:rsidRDefault="00736DCE" w:rsidP="00736D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5. Основные меры правового регулирования Программы</w:t>
      </w:r>
    </w:p>
    <w:p w:rsidR="00736DCE" w:rsidRDefault="00736DCE" w:rsidP="00BE36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40D7" w:rsidRPr="006440D7" w:rsidRDefault="006440D7" w:rsidP="006440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органов местного самоуправления в сфере обращения с </w:t>
      </w:r>
      <w:proofErr w:type="gramStart"/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твердыми</w:t>
      </w:r>
      <w:proofErr w:type="gramEnd"/>
    </w:p>
    <w:p w:rsidR="006440D7" w:rsidRPr="006440D7" w:rsidRDefault="006440D7" w:rsidP="00644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коммунальными отходами </w:t>
      </w:r>
      <w:proofErr w:type="gramStart"/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регламентирована</w:t>
      </w:r>
      <w:proofErr w:type="gramEnd"/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следующими нормативными правовыми</w:t>
      </w:r>
    </w:p>
    <w:p w:rsidR="006440D7" w:rsidRPr="006440D7" w:rsidRDefault="006440D7" w:rsidP="00644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актами:</w:t>
      </w:r>
    </w:p>
    <w:p w:rsidR="006440D7" w:rsidRPr="006440D7" w:rsidRDefault="002A44DB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24.06.1998г. №89-ФЗ «Об отходах производства и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ления»;</w:t>
      </w:r>
    </w:p>
    <w:p w:rsidR="006440D7" w:rsidRDefault="002A44DB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31.12.2017г. №503-ФЗ «О внесении изменений в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закон «Об отходах производства и потребления и отдельные законодательные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40D7" w:rsidRP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Российской Фед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ерации»;</w:t>
      </w:r>
    </w:p>
    <w:p w:rsidR="006440D7" w:rsidRPr="006440D7" w:rsidRDefault="002A44DB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Бузыкановского МО от 01.10.2019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№89 «Об у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верждении Реестра мест (площадок) накопления твёрдых коммунальных отходов на те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44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ритории Бузыкановского муниципального образования</w:t>
      </w:r>
      <w:r w:rsid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0048" w:rsidRPr="005C7F93" w:rsidRDefault="000C0048" w:rsidP="003C2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F93" w:rsidRDefault="00C802CD" w:rsidP="00C802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6. Ресурсное обеспечение Программы</w:t>
      </w:r>
    </w:p>
    <w:p w:rsidR="00C802CD" w:rsidRDefault="00C802CD" w:rsidP="00C802C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2CD" w:rsidRPr="00C802CD" w:rsidRDefault="00C802CD" w:rsidP="00C802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муниципальной программы осуществляется за счет средств бю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Бузыкановского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законодательством Иркутской области, муниципальными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выми актами Бузыкановского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802CD" w:rsidRPr="00C802CD" w:rsidRDefault="00C802CD" w:rsidP="00C802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реализации мероприятий муниципальной </w:t>
      </w:r>
      <w:r w:rsidR="009F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proofErr w:type="gramStart"/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</w:p>
    <w:p w:rsidR="00C802CD" w:rsidRP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бюджета Бузыкановског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муниципального образования представлено в прилож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муниципальной программе.</w:t>
      </w:r>
      <w:r w:rsidR="009F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мероприятия муниципальной Программы представлены в приложении №2.</w:t>
      </w:r>
    </w:p>
    <w:p w:rsidR="00C802CD" w:rsidRPr="00C802CD" w:rsidRDefault="00C802CD" w:rsidP="00C802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мун</w:t>
      </w:r>
      <w:r w:rsidR="009F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–</w:t>
      </w:r>
      <w:r w:rsidR="00F7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2189,671 тыс</w:t>
      </w:r>
      <w:proofErr w:type="gramStart"/>
      <w:r w:rsidR="00F7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F7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уб.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02CD" w:rsidRP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за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средств бюджета Бузыкановского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F7417A" w:rsidRDefault="00F7417A" w:rsidP="00F7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729,890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7417A" w:rsidRDefault="00F7417A" w:rsidP="00F7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729,890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F7417A" w:rsidRPr="00F7417A" w:rsidRDefault="00F7417A" w:rsidP="00F74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729,891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C802CD" w:rsidRPr="00C802CD" w:rsidRDefault="00C802CD" w:rsidP="00F741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="009F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сурсное обеспечение реализации П</w:t>
      </w: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за счет средств местного бюджета</w:t>
      </w:r>
    </w:p>
    <w:p w:rsidR="00C802CD" w:rsidRP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подлежит ежегодному уточнению в рамках формирования проекта бюджета на </w:t>
      </w:r>
      <w:proofErr w:type="gramStart"/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</w:t>
      </w:r>
      <w:proofErr w:type="gramEnd"/>
    </w:p>
    <w:p w:rsidR="00C802CD" w:rsidRPr="00C802CD" w:rsidRDefault="00C802CD" w:rsidP="00C8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финансовый год и на плановый период.</w:t>
      </w:r>
    </w:p>
    <w:p w:rsidR="00C802CD" w:rsidRDefault="00C802CD" w:rsidP="00BE3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7. Механизмы реализации Программы</w:t>
      </w:r>
    </w:p>
    <w:p w:rsidR="00BE3674" w:rsidRDefault="00BE3674" w:rsidP="00BE367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674" w:rsidRPr="00BE3674" w:rsidRDefault="00BE3674" w:rsidP="00BE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осуществляется на основе договоров, заключаемых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BE3674" w:rsidRP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заказчиком с исполнителями мероприятий</w:t>
      </w:r>
    </w:p>
    <w:p w:rsidR="00BE3674" w:rsidRP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за исключением случаев, предусмотренных действующим законодательс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вом.</w:t>
      </w:r>
    </w:p>
    <w:p w:rsidR="00BE3674" w:rsidRPr="00BE3674" w:rsidRDefault="00BE3674" w:rsidP="00BE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объемов финансирования, предусмотренных Программой,</w:t>
      </w:r>
    </w:p>
    <w:p w:rsidR="00BE3674" w:rsidRP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заказчики уточняют объемы финансирования за счет средств областного</w:t>
      </w:r>
    </w:p>
    <w:p w:rsidR="00BE3674" w:rsidRP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бюджета, федерального бюджета, местного бюджета, готовят предложения по внесению</w:t>
      </w:r>
    </w:p>
    <w:p w:rsidR="00BE3674" w:rsidRP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в перечень мероприятий Программы и сроки их исполнения.</w:t>
      </w:r>
    </w:p>
    <w:p w:rsidR="00BE3674" w:rsidRPr="00BE3674" w:rsidRDefault="00BE3674" w:rsidP="00BE36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F93" w:rsidRDefault="00BE3674" w:rsidP="00BE36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8. Организация управления и контроль за ходом реализации Программы</w:t>
      </w:r>
    </w:p>
    <w:p w:rsidR="00BE3674" w:rsidRDefault="00BE3674" w:rsidP="00BE36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3674" w:rsidRPr="00BE3674" w:rsidRDefault="00BE3674" w:rsidP="00BE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Программой осуществляется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Бузыкановского</w:t>
      </w:r>
    </w:p>
    <w:p w:rsidR="00BE3674" w:rsidRP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образования. Муниципальный заказчик Программы несёт ответстве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своевременное исполнение мероприятий Программы, эффекти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финансовых средств и ресурсов, выделяемых на реализацию. Пр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граммы.</w:t>
      </w:r>
    </w:p>
    <w:p w:rsidR="00BE3674" w:rsidRPr="00BE3674" w:rsidRDefault="00BE3674" w:rsidP="00BE3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BE3674" w:rsidRPr="00BE3674" w:rsidRDefault="00793FAA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фактически </w:t>
      </w:r>
      <w:proofErr w:type="gramStart"/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произведенных</w:t>
      </w:r>
      <w:proofErr w:type="gramEnd"/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расходов, всего и в том числе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 финансирования;</w:t>
      </w:r>
    </w:p>
    <w:p w:rsidR="00BE3674" w:rsidRPr="00BE3674" w:rsidRDefault="00793FAA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</w:t>
      </w:r>
      <w:proofErr w:type="gramStart"/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завершенных</w:t>
      </w:r>
      <w:proofErr w:type="gramEnd"/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мероприятий по Программе;</w:t>
      </w:r>
    </w:p>
    <w:p w:rsidR="00BE3674" w:rsidRPr="00BE3674" w:rsidRDefault="00793FAA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 завершенных в течение года мероприятий Программы и процент их не</w:t>
      </w:r>
      <w:r w:rsidR="003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завершения;</w:t>
      </w:r>
    </w:p>
    <w:p w:rsidR="00BE3674" w:rsidRPr="00BE3674" w:rsidRDefault="00793FAA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причин несвоевременного завершения программных мероприятий;</w:t>
      </w:r>
    </w:p>
    <w:p w:rsidR="00BE3674" w:rsidRPr="00BE3674" w:rsidRDefault="00793FAA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3674"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привлечении дополнительных источников финансирования и иных</w:t>
      </w:r>
    </w:p>
    <w:p w:rsidR="00BE3674" w:rsidRPr="00BE3674" w:rsidRDefault="00BE3674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способах достижения программных целей либо о прекращении </w:t>
      </w:r>
      <w:proofErr w:type="gramStart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</w:t>
      </w:r>
      <w:proofErr w:type="gramEnd"/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</w:t>
      </w:r>
      <w:r w:rsidR="003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3674" w:rsidRP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BE3674" w:rsidRPr="00BE3674" w:rsidRDefault="00BE3674" w:rsidP="003C2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исключается возможность участия администрации в программе по</w:t>
      </w:r>
      <w:r w:rsidR="003C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субсидир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3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 из бюджета Иркутской области мероприятий по обращению с ТКО.</w:t>
      </w: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20CD" w:rsidRDefault="003C20CD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20CD" w:rsidSect="00D321A3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3FAA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93FA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Программе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bCs/>
          <w:sz w:val="24"/>
          <w:szCs w:val="24"/>
        </w:rPr>
        <w:t>«</w:t>
      </w:r>
      <w:r w:rsidRPr="00793FAA">
        <w:rPr>
          <w:rFonts w:ascii="Times New Roman" w:hAnsi="Times New Roman" w:cs="Times New Roman"/>
          <w:sz w:val="24"/>
          <w:szCs w:val="24"/>
        </w:rPr>
        <w:t>«Охрана окружающей среды на территории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на 2022-2024 г.г.»</w:t>
      </w:r>
    </w:p>
    <w:p w:rsidR="003C20CD" w:rsidRDefault="003C20CD" w:rsidP="003C20CD">
      <w:pPr>
        <w:spacing w:after="0"/>
        <w:jc w:val="right"/>
        <w:rPr>
          <w:b/>
          <w:bCs/>
        </w:rPr>
      </w:pPr>
    </w:p>
    <w:p w:rsidR="003C20CD" w:rsidRPr="00793FAA" w:rsidRDefault="003C20CD" w:rsidP="003C2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</w:t>
      </w:r>
      <w:r w:rsidRPr="00793FAA">
        <w:rPr>
          <w:rFonts w:ascii="Times New Roman" w:hAnsi="Times New Roman" w:cs="Times New Roman"/>
          <w:b/>
          <w:bCs/>
          <w:sz w:val="24"/>
          <w:szCs w:val="24"/>
        </w:rPr>
        <w:t>ОБЕСПЕЧЕНИЕ РЕАЛИЗАЦИИ ПРОГРАММЫ</w:t>
      </w:r>
    </w:p>
    <w:p w:rsidR="003C20CD" w:rsidRPr="00793FAA" w:rsidRDefault="003C20CD" w:rsidP="003C2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«Охрана окружающей среды на территории</w:t>
      </w:r>
    </w:p>
    <w:p w:rsidR="003C20CD" w:rsidRPr="00793FAA" w:rsidRDefault="003C20CD" w:rsidP="003C2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3C20CD" w:rsidRPr="00793FAA" w:rsidRDefault="003C20CD" w:rsidP="003C2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на 2022-2024 г.г.»</w:t>
      </w:r>
    </w:p>
    <w:p w:rsidR="003C20CD" w:rsidRPr="00B20D7E" w:rsidRDefault="003C20CD" w:rsidP="003C20CD">
      <w:pPr>
        <w:spacing w:after="0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33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3240"/>
        <w:gridCol w:w="1800"/>
        <w:gridCol w:w="1200"/>
        <w:gridCol w:w="1200"/>
        <w:gridCol w:w="2040"/>
      </w:tblGrid>
      <w:tr w:rsidR="003C20CD" w:rsidRPr="00B20D7E" w:rsidTr="008E0632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 w:rsidRPr="00B20D7E"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 w:rsidRPr="00B20D7E">
              <w:t xml:space="preserve">Источник финансирования 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 w:rsidRPr="00B20D7E">
              <w:t>Объем ф</w:t>
            </w:r>
            <w:r>
              <w:t>инансирования, тыс. руб.</w:t>
            </w:r>
          </w:p>
        </w:tc>
      </w:tr>
      <w:tr w:rsidR="003C20CD" w:rsidRPr="00B20D7E" w:rsidTr="008E0632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за весь период реализации П</w:t>
            </w:r>
            <w:r w:rsidRPr="00B20D7E">
              <w:t>рограммы</w:t>
            </w:r>
          </w:p>
        </w:tc>
        <w:tc>
          <w:tcPr>
            <w:tcW w:w="4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в том числе по годам</w:t>
            </w:r>
          </w:p>
        </w:tc>
      </w:tr>
      <w:tr w:rsidR="003C20CD" w:rsidRPr="00B20D7E" w:rsidTr="008E0632">
        <w:trPr>
          <w:trHeight w:val="60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>
              <w:t>2022</w:t>
            </w:r>
            <w:r w:rsidRPr="00B20D7E">
              <w:t xml:space="preserve"> 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>
              <w:t>2023</w:t>
            </w:r>
            <w:r w:rsidRPr="00B20D7E">
              <w:t xml:space="preserve"> год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>
              <w:t>2024 год</w:t>
            </w:r>
          </w:p>
        </w:tc>
      </w:tr>
      <w:tr w:rsidR="003C20CD" w:rsidRPr="00B20D7E" w:rsidTr="008E0632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5</w:t>
            </w:r>
          </w:p>
        </w:tc>
      </w:tr>
      <w:tr w:rsidR="003C20CD" w:rsidRPr="00B20D7E" w:rsidTr="008E0632">
        <w:trPr>
          <w:trHeight w:val="360"/>
          <w:tblCellSpacing w:w="5" w:type="nil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>
              <w:t>Бузыкановское муниципал</w:t>
            </w:r>
            <w:r>
              <w:t>ь</w:t>
            </w:r>
            <w:r>
              <w:t>ное образование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614856" w:rsidRDefault="003C20CD" w:rsidP="008E0632">
            <w:pPr>
              <w:pStyle w:val="ConsPlusCell"/>
              <w:rPr>
                <w:lang w:val="en-US"/>
              </w:rPr>
            </w:pPr>
            <w:r w:rsidRPr="00B20D7E">
              <w:t>Всего, в том числе: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2189,671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729,890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729,890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729,891</w:t>
            </w:r>
          </w:p>
        </w:tc>
      </w:tr>
      <w:tr w:rsidR="003C20CD" w:rsidRPr="00B20D7E" w:rsidTr="008E0632">
        <w:trPr>
          <w:trHeight w:val="19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CD" w:rsidRDefault="003C20CD" w:rsidP="008E0632">
            <w:pPr>
              <w:pStyle w:val="ConsPlusCel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>
              <w:t>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6D7D4A" w:rsidRDefault="003C20CD" w:rsidP="008E0632">
            <w:pPr>
              <w:pStyle w:val="ConsPlusCell"/>
              <w:jc w:val="center"/>
            </w:pPr>
            <w:r>
              <w:t>2189,671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6D7D4A" w:rsidRDefault="003C20CD" w:rsidP="008E0632">
            <w:pPr>
              <w:pStyle w:val="ConsPlusCell"/>
              <w:jc w:val="center"/>
            </w:pPr>
            <w:r>
              <w:t>729,890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6D7D4A" w:rsidRDefault="003C20CD" w:rsidP="008E0632">
            <w:pPr>
              <w:pStyle w:val="ConsPlusCell"/>
              <w:jc w:val="center"/>
            </w:pPr>
            <w:r>
              <w:t>729,890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6D7D4A" w:rsidRDefault="003C20CD" w:rsidP="008E0632">
            <w:pPr>
              <w:pStyle w:val="ConsPlusCell"/>
              <w:jc w:val="center"/>
            </w:pPr>
            <w:r>
              <w:t>729,891</w:t>
            </w:r>
          </w:p>
        </w:tc>
      </w:tr>
      <w:tr w:rsidR="003C20CD" w:rsidRPr="00B20D7E" w:rsidTr="008E0632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614856" w:rsidRDefault="003C20CD" w:rsidP="008E0632">
            <w:pPr>
              <w:pStyle w:val="ConsPlusCell"/>
              <w:rPr>
                <w:lang w:val="en-US"/>
              </w:rPr>
            </w:pPr>
            <w:r>
              <w:t>ф</w:t>
            </w:r>
            <w:r w:rsidRPr="00B20D7E">
              <w:t>едеральный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</w:tr>
      <w:tr w:rsidR="003C20CD" w:rsidRPr="00B20D7E" w:rsidTr="008E0632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>
              <w:t>о</w:t>
            </w:r>
            <w:r w:rsidRPr="00B20D7E">
              <w:t>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</w:tr>
      <w:tr w:rsidR="003C20CD" w:rsidRPr="00B20D7E" w:rsidTr="008E0632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  <w: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  <w:r>
              <w:t>0</w:t>
            </w:r>
          </w:p>
        </w:tc>
      </w:tr>
      <w:tr w:rsidR="003C20CD" w:rsidRPr="00B20D7E" w:rsidTr="008E0632">
        <w:trPr>
          <w:trHeight w:val="169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D" w:rsidRPr="00B20D7E" w:rsidRDefault="003C20CD" w:rsidP="008E0632">
            <w:pPr>
              <w:pStyle w:val="ConsPlusCell"/>
              <w:jc w:val="center"/>
            </w:pPr>
          </w:p>
        </w:tc>
      </w:tr>
    </w:tbl>
    <w:p w:rsidR="003C20CD" w:rsidRPr="00B20D7E" w:rsidRDefault="003C20CD" w:rsidP="003C20CD">
      <w:pPr>
        <w:jc w:val="center"/>
        <w:rPr>
          <w:b/>
          <w:bCs/>
        </w:rPr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</w:pPr>
    </w:p>
    <w:p w:rsidR="003C20CD" w:rsidRPr="00B20D7E" w:rsidRDefault="003C20CD" w:rsidP="003C20CD">
      <w:pPr>
        <w:widowControl w:val="0"/>
        <w:autoSpaceDE w:val="0"/>
        <w:autoSpaceDN w:val="0"/>
        <w:adjustRightInd w:val="0"/>
        <w:jc w:val="right"/>
        <w:outlineLvl w:val="2"/>
        <w:sectPr w:rsidR="003C20CD" w:rsidRPr="00B20D7E" w:rsidSect="0082770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793FAA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Программе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bCs/>
          <w:sz w:val="24"/>
          <w:szCs w:val="24"/>
        </w:rPr>
        <w:t>«</w:t>
      </w:r>
      <w:r w:rsidRPr="00793FAA">
        <w:rPr>
          <w:rFonts w:ascii="Times New Roman" w:hAnsi="Times New Roman" w:cs="Times New Roman"/>
          <w:sz w:val="24"/>
          <w:szCs w:val="24"/>
        </w:rPr>
        <w:t>Охрана окружающей среды на территории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3C20CD" w:rsidRPr="00793FAA" w:rsidRDefault="003C20CD" w:rsidP="003C20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FAA">
        <w:rPr>
          <w:rFonts w:ascii="Times New Roman" w:hAnsi="Times New Roman" w:cs="Times New Roman"/>
          <w:sz w:val="24"/>
          <w:szCs w:val="24"/>
        </w:rPr>
        <w:t>на 2022-2024 г.г.»</w:t>
      </w:r>
    </w:p>
    <w:p w:rsidR="003C20CD" w:rsidRDefault="003C20CD" w:rsidP="003C20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20CD" w:rsidRPr="00EA50B5" w:rsidRDefault="003C20CD" w:rsidP="003C20CD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  <w:proofErr w:type="gramEnd"/>
    </w:p>
    <w:p w:rsidR="003C20CD" w:rsidRDefault="003C20CD" w:rsidP="003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«Охрана окружающей среды на </w:t>
      </w:r>
      <w:r w:rsidRPr="00C473B1">
        <w:rPr>
          <w:rFonts w:ascii="Times New Roman" w:hAnsi="Times New Roman"/>
          <w:b/>
          <w:sz w:val="24"/>
          <w:szCs w:val="24"/>
        </w:rPr>
        <w:t xml:space="preserve">территории </w:t>
      </w:r>
      <w:r>
        <w:rPr>
          <w:rFonts w:ascii="Times New Roman" w:hAnsi="Times New Roman"/>
          <w:b/>
          <w:sz w:val="24"/>
          <w:szCs w:val="24"/>
        </w:rPr>
        <w:t>Бузыкановского</w:t>
      </w:r>
      <w:r w:rsidRPr="00C473B1">
        <w:rPr>
          <w:rFonts w:ascii="Times New Roman" w:hAnsi="Times New Roman"/>
          <w:b/>
          <w:sz w:val="24"/>
          <w:szCs w:val="24"/>
        </w:rPr>
        <w:t xml:space="preserve"> му</w:t>
      </w:r>
      <w:r>
        <w:rPr>
          <w:rFonts w:ascii="Times New Roman" w:hAnsi="Times New Roman"/>
          <w:b/>
          <w:sz w:val="24"/>
          <w:szCs w:val="24"/>
        </w:rPr>
        <w:t>ниципального образования на 2022-2024</w:t>
      </w:r>
      <w:r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C20CD" w:rsidRDefault="003C20CD" w:rsidP="003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4692"/>
        <w:gridCol w:w="1559"/>
        <w:gridCol w:w="1701"/>
        <w:gridCol w:w="1701"/>
        <w:gridCol w:w="1656"/>
        <w:gridCol w:w="2491"/>
      </w:tblGrid>
      <w:tr w:rsidR="003C20CD" w:rsidRPr="00EF7C04" w:rsidTr="008E0632">
        <w:trPr>
          <w:trHeight w:val="320"/>
        </w:trPr>
        <w:tc>
          <w:tcPr>
            <w:tcW w:w="945" w:type="dxa"/>
            <w:vMerge w:val="restart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692" w:type="dxa"/>
            <w:vMerge w:val="restart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и затрат</w:t>
            </w:r>
          </w:p>
        </w:tc>
        <w:tc>
          <w:tcPr>
            <w:tcW w:w="6617" w:type="dxa"/>
            <w:gridSpan w:val="4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(</w:t>
            </w:r>
            <w:proofErr w:type="spellStart"/>
            <w:r w:rsidRPr="00EF7C04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EF7C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91" w:type="dxa"/>
            <w:vMerge w:val="restart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Ответственные и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с</w:t>
            </w:r>
            <w:r w:rsidRPr="00EF7C04">
              <w:rPr>
                <w:rFonts w:ascii="Times New Roman" w:hAnsi="Times New Roman"/>
                <w:sz w:val="24"/>
                <w:szCs w:val="24"/>
              </w:rPr>
              <w:t>полнители</w:t>
            </w: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C0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платы труда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машин</w:t>
            </w: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оплаты труда</w:t>
            </w: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126"/>
        </w:trPr>
        <w:tc>
          <w:tcPr>
            <w:tcW w:w="945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3C20CD" w:rsidRPr="00A11D95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грунта вручную в траншеях шириной более 2 м и котлованах площ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дью сечения дог 5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креплениями</w:t>
            </w:r>
          </w:p>
        </w:tc>
        <w:tc>
          <w:tcPr>
            <w:tcW w:w="1559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 w:val="restart"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B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зыкановского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>и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>о</w:t>
            </w:r>
            <w:r w:rsidRPr="001501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3C20CD" w:rsidRPr="00EF7C04" w:rsidTr="008E0632">
        <w:trPr>
          <w:trHeight w:val="303"/>
        </w:trPr>
        <w:tc>
          <w:tcPr>
            <w:tcW w:w="945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3C20CD" w:rsidRPr="00A11D95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основания под фундаменты: щебеночного</w:t>
            </w:r>
          </w:p>
        </w:tc>
        <w:tc>
          <w:tcPr>
            <w:tcW w:w="1559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656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D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615"/>
        </w:trPr>
        <w:tc>
          <w:tcPr>
            <w:tcW w:w="945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2" w:type="dxa"/>
          </w:tcPr>
          <w:p w:rsidR="003C20CD" w:rsidRPr="00A11D95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Щебень из природного камня для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тельных работ</w:t>
            </w:r>
          </w:p>
        </w:tc>
        <w:tc>
          <w:tcPr>
            <w:tcW w:w="1559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фундаментных плит бетонных плоских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1761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701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</w:t>
            </w:r>
          </w:p>
        </w:tc>
        <w:tc>
          <w:tcPr>
            <w:tcW w:w="1656" w:type="dxa"/>
          </w:tcPr>
          <w:p w:rsidR="003C20CD" w:rsidRPr="00007D14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 тяжёлый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33918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Армирование подстилающих слоев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тонок</w:t>
            </w:r>
            <w:proofErr w:type="spellEnd"/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Сталь арматурная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8949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металлических столбов,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гружением в бетонное основание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3373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2916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Трубы стальные квадратные из стали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4110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металлических каркасов ворот и калитки (монтаж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прожильника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1549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Трубы стальные прямоугольные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4921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Облицовка забора стальным профилир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ванным листом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Профнастил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оцинкованный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покрытием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7584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баков металлических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12696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10092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529"/>
        </w:trPr>
        <w:tc>
          <w:tcPr>
            <w:tcW w:w="945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2" w:type="dxa"/>
          </w:tcPr>
          <w:p w:rsidR="003C20CD" w:rsidRDefault="003C20CD" w:rsidP="008E06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Контейнер (мусорный бак)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83152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6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vMerge/>
          </w:tcPr>
          <w:p w:rsidR="003C20CD" w:rsidRPr="001501BB" w:rsidRDefault="003C20CD" w:rsidP="008E06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320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Накладные расходы</w:t>
            </w:r>
          </w:p>
        </w:tc>
        <w:tc>
          <w:tcPr>
            <w:tcW w:w="1559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16843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Сметная прибыль</w:t>
            </w:r>
          </w:p>
        </w:tc>
        <w:tc>
          <w:tcPr>
            <w:tcW w:w="1559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11260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Итого строительные работы</w:t>
            </w:r>
          </w:p>
        </w:tc>
        <w:tc>
          <w:tcPr>
            <w:tcW w:w="1559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1041661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Итого монтажные работы</w:t>
            </w:r>
          </w:p>
        </w:tc>
        <w:tc>
          <w:tcPr>
            <w:tcW w:w="1559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764998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1806659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Справочно, в базисных ценах: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 xml:space="preserve">Материалы 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146592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Машины и механизмы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8387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ФОТ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14185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Накладные расходы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16843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Сметная прибыль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11260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Непредвиденные затраты 1 % от 1806659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18067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Итого с непредвиденными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1824726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>НДС 20% от 1824726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364945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0CD" w:rsidRPr="00EF7C04" w:rsidTr="008E0632">
        <w:trPr>
          <w:trHeight w:val="145"/>
        </w:trPr>
        <w:tc>
          <w:tcPr>
            <w:tcW w:w="945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2" w:type="dxa"/>
          </w:tcPr>
          <w:p w:rsidR="003C20CD" w:rsidRPr="00E342DB" w:rsidRDefault="003C20CD" w:rsidP="008E063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42D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</w:tcPr>
          <w:p w:rsidR="003C20CD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2189671</w:t>
            </w: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3C20CD" w:rsidRPr="00EF7C04" w:rsidRDefault="003C20CD" w:rsidP="008E0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674" w:rsidRDefault="00BE3674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2F5" w:rsidRDefault="002932F5" w:rsidP="00BE3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932F5" w:rsidSect="003C20CD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E3674" w:rsidRPr="00BE3674" w:rsidRDefault="00BE3674" w:rsidP="009F31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E3674" w:rsidRPr="00BE3674" w:rsidSect="002932F5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38" w:rsidRDefault="00225C38" w:rsidP="00D321A3">
      <w:pPr>
        <w:spacing w:after="0" w:line="240" w:lineRule="auto"/>
      </w:pPr>
      <w:r>
        <w:separator/>
      </w:r>
    </w:p>
  </w:endnote>
  <w:endnote w:type="continuationSeparator" w:id="0">
    <w:p w:rsidR="00225C38" w:rsidRDefault="00225C38" w:rsidP="00D3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704" w:rsidRDefault="008277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38" w:rsidRDefault="00225C38" w:rsidP="00D321A3">
      <w:pPr>
        <w:spacing w:after="0" w:line="240" w:lineRule="auto"/>
      </w:pPr>
      <w:r>
        <w:separator/>
      </w:r>
    </w:p>
  </w:footnote>
  <w:footnote w:type="continuationSeparator" w:id="0">
    <w:p w:rsidR="00225C38" w:rsidRDefault="00225C38" w:rsidP="00D32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429"/>
    <w:multiLevelType w:val="hybridMultilevel"/>
    <w:tmpl w:val="5736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783"/>
    <w:multiLevelType w:val="multilevel"/>
    <w:tmpl w:val="C5CE0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21C2595"/>
    <w:multiLevelType w:val="hybridMultilevel"/>
    <w:tmpl w:val="159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D6E73"/>
    <w:multiLevelType w:val="hybridMultilevel"/>
    <w:tmpl w:val="080E46CC"/>
    <w:lvl w:ilvl="0" w:tplc="7E642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63246"/>
    <w:multiLevelType w:val="hybridMultilevel"/>
    <w:tmpl w:val="A33479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5B953BFA"/>
    <w:multiLevelType w:val="hybridMultilevel"/>
    <w:tmpl w:val="550AB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F3672B6"/>
    <w:multiLevelType w:val="hybridMultilevel"/>
    <w:tmpl w:val="590E0B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F5D3BE8"/>
    <w:multiLevelType w:val="hybridMultilevel"/>
    <w:tmpl w:val="0B22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66DBF"/>
    <w:multiLevelType w:val="hybridMultilevel"/>
    <w:tmpl w:val="F818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C669D"/>
    <w:multiLevelType w:val="hybridMultilevel"/>
    <w:tmpl w:val="DD7C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91117"/>
    <w:multiLevelType w:val="hybridMultilevel"/>
    <w:tmpl w:val="8BE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AC"/>
    <w:rsid w:val="00005084"/>
    <w:rsid w:val="00005C1B"/>
    <w:rsid w:val="00005DB1"/>
    <w:rsid w:val="00007D14"/>
    <w:rsid w:val="000138DA"/>
    <w:rsid w:val="0001398A"/>
    <w:rsid w:val="00035BEC"/>
    <w:rsid w:val="000376AC"/>
    <w:rsid w:val="0004714D"/>
    <w:rsid w:val="00060DB0"/>
    <w:rsid w:val="00062639"/>
    <w:rsid w:val="0007777E"/>
    <w:rsid w:val="00077CDC"/>
    <w:rsid w:val="00083EE6"/>
    <w:rsid w:val="00095487"/>
    <w:rsid w:val="000A2FA4"/>
    <w:rsid w:val="000C0048"/>
    <w:rsid w:val="000C4C41"/>
    <w:rsid w:val="000C5F80"/>
    <w:rsid w:val="000D02D9"/>
    <w:rsid w:val="000F26D7"/>
    <w:rsid w:val="00104A97"/>
    <w:rsid w:val="0010785E"/>
    <w:rsid w:val="00121FA0"/>
    <w:rsid w:val="00123D75"/>
    <w:rsid w:val="0013621D"/>
    <w:rsid w:val="0019420E"/>
    <w:rsid w:val="001A200E"/>
    <w:rsid w:val="001C275D"/>
    <w:rsid w:val="001C648E"/>
    <w:rsid w:val="001D4B2B"/>
    <w:rsid w:val="001E7D14"/>
    <w:rsid w:val="001F73F9"/>
    <w:rsid w:val="0020207C"/>
    <w:rsid w:val="00225C38"/>
    <w:rsid w:val="0024073C"/>
    <w:rsid w:val="0024539D"/>
    <w:rsid w:val="00252FEC"/>
    <w:rsid w:val="00257968"/>
    <w:rsid w:val="00260449"/>
    <w:rsid w:val="00271F32"/>
    <w:rsid w:val="002852F2"/>
    <w:rsid w:val="002932F5"/>
    <w:rsid w:val="002A44DB"/>
    <w:rsid w:val="002B7D15"/>
    <w:rsid w:val="002E1B61"/>
    <w:rsid w:val="002E77ED"/>
    <w:rsid w:val="00317E98"/>
    <w:rsid w:val="00327728"/>
    <w:rsid w:val="00331007"/>
    <w:rsid w:val="003355CB"/>
    <w:rsid w:val="00355DEF"/>
    <w:rsid w:val="00361975"/>
    <w:rsid w:val="003737A0"/>
    <w:rsid w:val="00376671"/>
    <w:rsid w:val="003A52BA"/>
    <w:rsid w:val="003C20CD"/>
    <w:rsid w:val="003C529F"/>
    <w:rsid w:val="00417408"/>
    <w:rsid w:val="00434663"/>
    <w:rsid w:val="00460474"/>
    <w:rsid w:val="00464FA3"/>
    <w:rsid w:val="004716B2"/>
    <w:rsid w:val="004865A1"/>
    <w:rsid w:val="00493294"/>
    <w:rsid w:val="004A00BB"/>
    <w:rsid w:val="004A1040"/>
    <w:rsid w:val="004B193B"/>
    <w:rsid w:val="004B3A8B"/>
    <w:rsid w:val="004B61F4"/>
    <w:rsid w:val="004B79B0"/>
    <w:rsid w:val="004C2B5D"/>
    <w:rsid w:val="004C5F47"/>
    <w:rsid w:val="00524172"/>
    <w:rsid w:val="0055150C"/>
    <w:rsid w:val="00553781"/>
    <w:rsid w:val="00557EC3"/>
    <w:rsid w:val="0056235C"/>
    <w:rsid w:val="00566E91"/>
    <w:rsid w:val="00567632"/>
    <w:rsid w:val="005A174C"/>
    <w:rsid w:val="005C7F93"/>
    <w:rsid w:val="005D2780"/>
    <w:rsid w:val="005D561E"/>
    <w:rsid w:val="005E6F8A"/>
    <w:rsid w:val="005F4B06"/>
    <w:rsid w:val="0061197F"/>
    <w:rsid w:val="00614856"/>
    <w:rsid w:val="00617268"/>
    <w:rsid w:val="00621D38"/>
    <w:rsid w:val="0063285B"/>
    <w:rsid w:val="006345C2"/>
    <w:rsid w:val="00636BD1"/>
    <w:rsid w:val="006440D7"/>
    <w:rsid w:val="0065588A"/>
    <w:rsid w:val="006601AB"/>
    <w:rsid w:val="0066316C"/>
    <w:rsid w:val="00664E80"/>
    <w:rsid w:val="0068083C"/>
    <w:rsid w:val="00684F96"/>
    <w:rsid w:val="006972CB"/>
    <w:rsid w:val="006B0C7A"/>
    <w:rsid w:val="006B4DFE"/>
    <w:rsid w:val="006D530A"/>
    <w:rsid w:val="006E15D8"/>
    <w:rsid w:val="006E167C"/>
    <w:rsid w:val="006E1DDA"/>
    <w:rsid w:val="006E22FE"/>
    <w:rsid w:val="00706BAF"/>
    <w:rsid w:val="0073149A"/>
    <w:rsid w:val="007326EE"/>
    <w:rsid w:val="00735953"/>
    <w:rsid w:val="00736DCE"/>
    <w:rsid w:val="007441B6"/>
    <w:rsid w:val="00755DEA"/>
    <w:rsid w:val="00767354"/>
    <w:rsid w:val="00770FE7"/>
    <w:rsid w:val="00782E6D"/>
    <w:rsid w:val="00786F91"/>
    <w:rsid w:val="00793FAA"/>
    <w:rsid w:val="007A4901"/>
    <w:rsid w:val="007A7172"/>
    <w:rsid w:val="007F08D2"/>
    <w:rsid w:val="00804B5F"/>
    <w:rsid w:val="0080584C"/>
    <w:rsid w:val="008219D1"/>
    <w:rsid w:val="00827704"/>
    <w:rsid w:val="0084796C"/>
    <w:rsid w:val="0085662D"/>
    <w:rsid w:val="00856ECB"/>
    <w:rsid w:val="00865A21"/>
    <w:rsid w:val="008716FB"/>
    <w:rsid w:val="008905C4"/>
    <w:rsid w:val="00892BA6"/>
    <w:rsid w:val="008C2FCE"/>
    <w:rsid w:val="008D3C64"/>
    <w:rsid w:val="00917F78"/>
    <w:rsid w:val="00921F07"/>
    <w:rsid w:val="00925420"/>
    <w:rsid w:val="00927866"/>
    <w:rsid w:val="00932D93"/>
    <w:rsid w:val="00941970"/>
    <w:rsid w:val="00960C39"/>
    <w:rsid w:val="00961393"/>
    <w:rsid w:val="009817F5"/>
    <w:rsid w:val="00994343"/>
    <w:rsid w:val="00995EA6"/>
    <w:rsid w:val="009C034C"/>
    <w:rsid w:val="009C4FA8"/>
    <w:rsid w:val="009C50EF"/>
    <w:rsid w:val="009F3196"/>
    <w:rsid w:val="00A11C91"/>
    <w:rsid w:val="00A11D95"/>
    <w:rsid w:val="00A5238F"/>
    <w:rsid w:val="00A73D5A"/>
    <w:rsid w:val="00A93598"/>
    <w:rsid w:val="00AD1E76"/>
    <w:rsid w:val="00AE3C19"/>
    <w:rsid w:val="00AF3A51"/>
    <w:rsid w:val="00B16EF3"/>
    <w:rsid w:val="00B1767B"/>
    <w:rsid w:val="00B22D79"/>
    <w:rsid w:val="00B24EB5"/>
    <w:rsid w:val="00B32033"/>
    <w:rsid w:val="00B34809"/>
    <w:rsid w:val="00B4006D"/>
    <w:rsid w:val="00B762B5"/>
    <w:rsid w:val="00B8243B"/>
    <w:rsid w:val="00B84E35"/>
    <w:rsid w:val="00B9196D"/>
    <w:rsid w:val="00BB33C2"/>
    <w:rsid w:val="00BB45EF"/>
    <w:rsid w:val="00BE01F9"/>
    <w:rsid w:val="00BE1657"/>
    <w:rsid w:val="00BE3674"/>
    <w:rsid w:val="00BF133E"/>
    <w:rsid w:val="00BF2BF2"/>
    <w:rsid w:val="00BF4A88"/>
    <w:rsid w:val="00C161B2"/>
    <w:rsid w:val="00C306F9"/>
    <w:rsid w:val="00C5564F"/>
    <w:rsid w:val="00C75FD5"/>
    <w:rsid w:val="00C802CD"/>
    <w:rsid w:val="00C81398"/>
    <w:rsid w:val="00C82823"/>
    <w:rsid w:val="00C85CD4"/>
    <w:rsid w:val="00C86A59"/>
    <w:rsid w:val="00C97E82"/>
    <w:rsid w:val="00CB48D9"/>
    <w:rsid w:val="00CC2F2D"/>
    <w:rsid w:val="00CC73CA"/>
    <w:rsid w:val="00D051E2"/>
    <w:rsid w:val="00D05587"/>
    <w:rsid w:val="00D069E6"/>
    <w:rsid w:val="00D321A3"/>
    <w:rsid w:val="00D57856"/>
    <w:rsid w:val="00D6134A"/>
    <w:rsid w:val="00D91C71"/>
    <w:rsid w:val="00D97CA4"/>
    <w:rsid w:val="00DC01AF"/>
    <w:rsid w:val="00DE69B2"/>
    <w:rsid w:val="00DF10E0"/>
    <w:rsid w:val="00DF67E5"/>
    <w:rsid w:val="00E066EB"/>
    <w:rsid w:val="00E342DB"/>
    <w:rsid w:val="00E45563"/>
    <w:rsid w:val="00E928E4"/>
    <w:rsid w:val="00EA22E1"/>
    <w:rsid w:val="00EB4079"/>
    <w:rsid w:val="00EC6C20"/>
    <w:rsid w:val="00EE3D70"/>
    <w:rsid w:val="00EF67BF"/>
    <w:rsid w:val="00EF7417"/>
    <w:rsid w:val="00F17882"/>
    <w:rsid w:val="00F221B2"/>
    <w:rsid w:val="00F23848"/>
    <w:rsid w:val="00F27F6A"/>
    <w:rsid w:val="00F4066E"/>
    <w:rsid w:val="00F52D5C"/>
    <w:rsid w:val="00F7417A"/>
    <w:rsid w:val="00F94076"/>
    <w:rsid w:val="00FB7C32"/>
    <w:rsid w:val="00FC115E"/>
    <w:rsid w:val="00FD63D6"/>
    <w:rsid w:val="00FF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FA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1A3"/>
  </w:style>
  <w:style w:type="paragraph" w:styleId="a8">
    <w:name w:val="footer"/>
    <w:basedOn w:val="a"/>
    <w:link w:val="a9"/>
    <w:uiPriority w:val="99"/>
    <w:unhideWhenUsed/>
    <w:rsid w:val="00D3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1A3"/>
  </w:style>
  <w:style w:type="paragraph" w:customStyle="1" w:styleId="ConsPlusCell">
    <w:name w:val="ConsPlusCell"/>
    <w:rsid w:val="00486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F383-B65A-4763-B523-25CA83B1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28</cp:revision>
  <cp:lastPrinted>2020-12-25T02:20:00Z</cp:lastPrinted>
  <dcterms:created xsi:type="dcterms:W3CDTF">2020-12-29T03:48:00Z</dcterms:created>
  <dcterms:modified xsi:type="dcterms:W3CDTF">2021-06-17T01:01:00Z</dcterms:modified>
</cp:coreProperties>
</file>